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81025" cy="6858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pacing w:lineRule="exact" w:line="280" w:before="240" w:after="0"/>
        <w:ind w:left="0" w:hanging="0"/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МИНИСТЕРСТВО ОБРАЗОВАНИЯ </w:t>
      </w:r>
    </w:p>
    <w:p>
      <w:pPr>
        <w:pStyle w:val="Normal"/>
        <w:keepNext w:val="true"/>
        <w:numPr>
          <w:ilvl w:val="0"/>
          <w:numId w:val="0"/>
        </w:numPr>
        <w:spacing w:lineRule="exact" w:line="280" w:before="120" w:after="0"/>
        <w:ind w:left="0" w:hanging="0"/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ПРИМОРСКОГО КРАЯ</w:t>
      </w:r>
    </w:p>
    <w:p>
      <w:pPr>
        <w:pStyle w:val="Normal"/>
        <w:spacing w:lineRule="exact" w:line="280" w:before="500" w:after="440"/>
        <w:jc w:val="center"/>
        <w:rPr>
          <w:b/>
          <w:bCs/>
          <w:spacing w:val="60"/>
          <w:sz w:val="32"/>
          <w:szCs w:val="32"/>
        </w:rPr>
      </w:pPr>
      <w:r>
        <w:rPr>
          <w:b/>
          <w:bCs/>
          <w:spacing w:val="60"/>
          <w:sz w:val="32"/>
          <w:szCs w:val="32"/>
        </w:rPr>
        <w:t>ПРИКАЗ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1" w:firstRow="1" w:lastColumn="1" w:firstColumn="1" w:val="01e0" w:noHBand="0" w:noVBand="0"/>
      </w:tblPr>
      <w:tblGrid>
        <w:gridCol w:w="2660"/>
        <w:gridCol w:w="4823"/>
        <w:gridCol w:w="356"/>
        <w:gridCol w:w="2049"/>
      </w:tblGrid>
      <w:tr>
        <w:trPr/>
        <w:tc>
          <w:tcPr>
            <w:tcW w:w="266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48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854" w:leader="none"/>
              </w:tabs>
              <w:ind w:left="-108" w:right="317" w:hanging="0"/>
              <w:jc w:val="center"/>
              <w:rPr>
                <w:spacing w:val="60"/>
              </w:rPr>
            </w:pPr>
            <w:r>
              <w:rPr/>
              <w:t>г.</w:t>
            </w:r>
            <w:r>
              <w:rPr>
                <w:lang w:val="en-US"/>
              </w:rPr>
              <w:t> </w:t>
            </w:r>
            <w:r>
              <w:rPr/>
              <w:t>Владивосток</w:t>
            </w:r>
          </w:p>
        </w:tc>
        <w:tc>
          <w:tcPr>
            <w:tcW w:w="356" w:type="dxa"/>
            <w:tcBorders/>
            <w:vAlign w:val="bottom"/>
          </w:tcPr>
          <w:p>
            <w:pPr>
              <w:pStyle w:val="Normal"/>
              <w:widowControl w:val="false"/>
              <w:ind w:left="-108" w:right="-109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</w:tc>
        <w:tc>
          <w:tcPr>
            <w:tcW w:w="204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6075" w:leader="none"/>
        </w:tabs>
        <w:ind w:left="855" w:right="855" w:firstLine="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аккредитации граждан для общественного наблюдения </w:t>
      </w:r>
    </w:p>
    <w:p>
      <w:pPr>
        <w:pStyle w:val="Normal"/>
        <w:tabs>
          <w:tab w:val="clear" w:pos="708"/>
          <w:tab w:val="left" w:pos="6075" w:leader="none"/>
        </w:tabs>
        <w:ind w:left="855" w:right="855" w:firstLine="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проведением государственной итоговой аттестации </w:t>
        <w:br/>
      </w:r>
      <w:r>
        <w:rPr>
          <w:rFonts w:eastAsia="Times New Roman" w:cs="Times New Roman"/>
          <w:b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 xml:space="preserve">по образовательным программам основного общего </w:t>
        <w:br/>
        <w:t xml:space="preserve">и среднего общего образования </w:t>
      </w:r>
      <w:r>
        <w:rPr>
          <w:b/>
          <w:sz w:val="28"/>
          <w:szCs w:val="28"/>
        </w:rPr>
        <w:t xml:space="preserve">на территории </w:t>
        <w:br/>
        <w:t>Приморского края в 2025 году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418" w:right="851" w:gutter="0" w:header="709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60"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 3 ст. 77 Федерального закона от 29.12.2012 № 273-ФЗ «Об образовании в Российской Федерации», приказом Министерства просвещения Российской Федерации и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образования», приказом Министерства просвещения Российской Федерации и Федеральной службы по надзору в сфере образования и науки от 04.04.2023 № 232/551 «Об утверждении Порядка проведения государственной итоговой аттестации по образовательным программам основного общего образования», приказом </w:t>
      </w:r>
      <w:r>
        <w:rPr>
          <w:rFonts w:eastAsia="Times New Roman" w:cs="Times New Roman"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>Рособрнадзора от 26.08.2022 № 924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fill="auto" w:val="clear"/>
        </w:rPr>
        <w:t>приказом министерства образования Приморского края от 19.02.2024 № 23а-195 «О</w:t>
      </w:r>
      <w:r>
        <w:rPr>
          <w:rFonts w:eastAsia="Times New Roman" w:cs="Times New Roman"/>
          <w:b w:val="false"/>
          <w:bCs w:val="false"/>
          <w:color w:val="000000"/>
          <w:spacing w:val="3"/>
          <w:kern w:val="0"/>
          <w:sz w:val="28"/>
          <w:szCs w:val="28"/>
          <w:u w:val="none"/>
          <w:shd w:fill="auto" w:val="clear"/>
          <w:lang w:val="ru-RU" w:eastAsia="ru-RU" w:bidi="ar-SA"/>
        </w:rPr>
        <w:t>б ос</w:t>
      </w:r>
      <w:r>
        <w:rPr>
          <w:rFonts w:eastAsia="Times New Roman" w:cs="Times New Roman"/>
          <w:b w:val="false"/>
          <w:bCs w:val="false"/>
          <w:color w:val="000000"/>
          <w:spacing w:val="3"/>
          <w:kern w:val="0"/>
          <w:sz w:val="28"/>
          <w:szCs w:val="28"/>
          <w:u w:val="none"/>
          <w:shd w:fill="auto" w:val="clear"/>
          <w:lang w:val="ru-RU" w:eastAsia="ru-RU" w:bidi="ar-SA"/>
        </w:rPr>
        <w:t>у</w:t>
      </w:r>
      <w:r>
        <w:rPr>
          <w:rFonts w:eastAsia="Times New Roman" w:cs="Times New Roman"/>
          <w:b w:val="false"/>
          <w:bCs w:val="false"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 xml:space="preserve">ществлении общественного наблюдения при проведении государственной итоговой аттестации по образовательным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 w:cs="Times New Roman"/>
          <w:b w:val="false"/>
          <w:bCs w:val="false"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>программам основного общего и среднего общего образования на территории Приморского края», в целях соблюдения установленного порядка проведения государственной итоговой аттестации в Приморском крае</w:t>
      </w:r>
      <w:r>
        <w:rPr>
          <w:sz w:val="28"/>
          <w:szCs w:val="28"/>
        </w:rPr>
        <w:t xml:space="preserve"> в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  <w:br/>
      </w:r>
      <w:r>
        <w:rPr>
          <w:spacing w:val="40"/>
          <w:sz w:val="28"/>
          <w:szCs w:val="28"/>
        </w:rPr>
        <w:t xml:space="preserve">п р и к а з </w:t>
      </w:r>
      <w:r>
        <w:rPr>
          <w:spacing w:val="40"/>
          <w:sz w:val="28"/>
          <w:szCs w:val="28"/>
        </w:rPr>
        <w:t xml:space="preserve">ы </w:t>
      </w:r>
      <w:r>
        <w:rPr>
          <w:spacing w:val="40"/>
          <w:sz w:val="28"/>
          <w:szCs w:val="28"/>
        </w:rPr>
        <w:t>в а ю: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Аккредитовать состав общественных наблюдателей при проведении аккредитации граждан для общественного наблюдения за проведением государственной итоговой аттестации </w:t>
      </w:r>
      <w:r>
        <w:rPr>
          <w:rFonts w:eastAsia="Times New Roman" w:cs="Times New Roman"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>обучающихся, освоивших основные образовательные программы основного общего образования</w:t>
      </w:r>
      <w:r>
        <w:rPr>
          <w:sz w:val="28"/>
          <w:szCs w:val="28"/>
        </w:rPr>
        <w:t xml:space="preserve">, на территории Приморского края в 2025 году </w:t>
      </w:r>
      <w:r>
        <w:rPr>
          <w:sz w:val="28"/>
          <w:szCs w:val="28"/>
          <w:shd w:fill="auto" w:val="clear"/>
        </w:rPr>
        <w:t xml:space="preserve">(Яковлевский, Анучинский, Пограничный, Чугуевский, Хорольский, Пожарский, Ханкайский, Шкотовский, Кавалеровский, Лесозаводский, </w:t>
      </w:r>
      <w:r>
        <w:rPr>
          <w:sz w:val="28"/>
          <w:szCs w:val="28"/>
          <w:shd w:fill="auto" w:val="clear"/>
        </w:rPr>
        <w:t xml:space="preserve">Лазовский, Ольгинский, Октябрьский, Тернейский, </w:t>
      </w:r>
      <w:r>
        <w:rPr>
          <w:sz w:val="28"/>
          <w:szCs w:val="28"/>
          <w:shd w:fill="auto" w:val="clear"/>
        </w:rPr>
        <w:t>Партизанский</w:t>
      </w:r>
      <w:r>
        <w:rPr>
          <w:sz w:val="28"/>
          <w:szCs w:val="28"/>
          <w:shd w:fill="auto" w:val="clear"/>
        </w:rPr>
        <w:t xml:space="preserve"> муниципальные округа; </w:t>
      </w:r>
      <w:r>
        <w:rPr>
          <w:sz w:val="28"/>
          <w:szCs w:val="28"/>
          <w:shd w:fill="auto" w:val="clear"/>
        </w:rPr>
        <w:t xml:space="preserve">Дальнереченский, ЗАТО Фокино, Большой Камень, </w:t>
      </w:r>
      <w:r>
        <w:rPr>
          <w:sz w:val="28"/>
          <w:szCs w:val="28"/>
          <w:shd w:fill="auto" w:val="clear"/>
        </w:rPr>
        <w:t xml:space="preserve">Партизанский, </w:t>
      </w:r>
      <w:r>
        <w:rPr>
          <w:sz w:val="28"/>
          <w:szCs w:val="28"/>
          <w:shd w:fill="auto" w:val="clear"/>
        </w:rPr>
        <w:t>Артемовский</w:t>
      </w:r>
      <w:r>
        <w:rPr>
          <w:sz w:val="28"/>
          <w:szCs w:val="28"/>
          <w:shd w:fill="auto" w:val="clear"/>
        </w:rPr>
        <w:t xml:space="preserve"> городские округа</w:t>
      </w:r>
      <w:r>
        <w:rPr>
          <w:sz w:val="28"/>
          <w:szCs w:val="28"/>
          <w:shd w:fill="auto" w:val="clear"/>
        </w:rPr>
        <w:t>;</w:t>
      </w:r>
      <w:r>
        <w:rPr>
          <w:sz w:val="28"/>
          <w:szCs w:val="28"/>
          <w:shd w:fill="auto" w:val="clear"/>
        </w:rPr>
        <w:t xml:space="preserve">  Надеждинск</w:t>
      </w:r>
      <w:r>
        <w:rPr>
          <w:sz w:val="28"/>
          <w:szCs w:val="28"/>
          <w:shd w:fill="auto" w:val="clear"/>
        </w:rPr>
        <w:t xml:space="preserve">ий, Михайловский, Дальнереченский, </w:t>
      </w:r>
      <w:r>
        <w:rPr>
          <w:sz w:val="28"/>
          <w:szCs w:val="28"/>
          <w:shd w:fill="auto" w:val="clear"/>
        </w:rPr>
        <w:t>Спасский</w:t>
      </w:r>
      <w:r>
        <w:rPr>
          <w:sz w:val="28"/>
          <w:szCs w:val="28"/>
          <w:shd w:fill="auto" w:val="clear"/>
        </w:rPr>
        <w:t xml:space="preserve"> муниципальные районы</w:t>
      </w:r>
      <w:r>
        <w:rPr>
          <w:sz w:val="28"/>
          <w:szCs w:val="28"/>
          <w:shd w:fill="auto" w:val="clear"/>
        </w:rPr>
        <w:t>)</w:t>
      </w:r>
      <w:r>
        <w:rPr>
          <w:sz w:val="28"/>
          <w:szCs w:val="28"/>
        </w:rPr>
        <w:t xml:space="preserve"> согласно приложению № 1 к настоящему приказу.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Аккредитовать состав общественных наблюдателей при проведении аккредитации граждан для общественного наблюдения за проведением государственной итоговой аттестации </w:t>
      </w:r>
      <w:r>
        <w:rPr>
          <w:rFonts w:eastAsia="Times New Roman" w:cs="Times New Roman"/>
          <w:color w:val="auto"/>
          <w:spacing w:val="3"/>
          <w:kern w:val="0"/>
          <w:sz w:val="28"/>
          <w:szCs w:val="28"/>
          <w:u w:val="none"/>
          <w:lang w:val="ru-RU" w:eastAsia="ru-RU" w:bidi="ar-SA"/>
        </w:rPr>
        <w:t>обучающихся, освоивших основные образовательные программы среднего общего образования</w:t>
      </w:r>
      <w:r>
        <w:rPr>
          <w:sz w:val="28"/>
          <w:szCs w:val="28"/>
        </w:rPr>
        <w:t>, на территории Приморского края в 2025 году (</w:t>
      </w:r>
      <w:r>
        <w:rPr>
          <w:sz w:val="28"/>
          <w:szCs w:val="28"/>
          <w:shd w:fill="FFFFFF" w:val="clear"/>
        </w:rPr>
        <w:t xml:space="preserve">Яковлевский, Анучинский, Пограничный, Хасанский, Чугуевский, Хорольский, Пожарский, Ханкайский, Шкотовский, Кавалеровский, Лесозаводский, </w:t>
      </w:r>
      <w:r>
        <w:rPr>
          <w:sz w:val="28"/>
          <w:szCs w:val="28"/>
          <w:shd w:fill="FFFFFF" w:val="clear"/>
        </w:rPr>
        <w:t xml:space="preserve">Лазовский, Ольгинский, Октябрьский, Тернейский, </w:t>
      </w:r>
      <w:r>
        <w:rPr>
          <w:sz w:val="28"/>
          <w:szCs w:val="28"/>
          <w:shd w:fill="FFFFFF" w:val="clear"/>
        </w:rPr>
        <w:t>Партизанский</w:t>
      </w:r>
      <w:r>
        <w:rPr>
          <w:sz w:val="28"/>
          <w:szCs w:val="28"/>
          <w:shd w:fill="FFFFFF" w:val="clear"/>
        </w:rPr>
        <w:t xml:space="preserve"> муниципальные округа; </w:t>
      </w:r>
      <w:r>
        <w:rPr>
          <w:sz w:val="28"/>
          <w:szCs w:val="28"/>
          <w:shd w:fill="FFFFFF" w:val="clear"/>
        </w:rPr>
        <w:t xml:space="preserve">Дальнереченский, ЗАТО Фокино, Большой Камень, Партизанский, </w:t>
      </w:r>
      <w:r>
        <w:rPr>
          <w:sz w:val="28"/>
          <w:szCs w:val="28"/>
          <w:shd w:fill="FFFFFF" w:val="clear"/>
        </w:rPr>
        <w:t>Артемовский</w:t>
      </w:r>
      <w:r>
        <w:rPr>
          <w:sz w:val="28"/>
          <w:szCs w:val="28"/>
          <w:shd w:fill="FFFFFF" w:val="clear"/>
        </w:rPr>
        <w:t xml:space="preserve"> городские округа</w:t>
      </w:r>
      <w:r>
        <w:rPr>
          <w:sz w:val="28"/>
          <w:szCs w:val="28"/>
          <w:shd w:fill="FFFFFF" w:val="clear"/>
        </w:rPr>
        <w:t>;</w:t>
      </w:r>
      <w:r>
        <w:rPr>
          <w:sz w:val="28"/>
          <w:szCs w:val="28"/>
          <w:shd w:fill="FFFFFF" w:val="clear"/>
        </w:rPr>
        <w:t xml:space="preserve">  Надеждинск</w:t>
      </w:r>
      <w:r>
        <w:rPr>
          <w:sz w:val="28"/>
          <w:szCs w:val="28"/>
          <w:shd w:fill="FFFFFF" w:val="clear"/>
        </w:rPr>
        <w:t xml:space="preserve">ий, Михайловский, Дальнереченский, </w:t>
      </w:r>
      <w:r>
        <w:rPr>
          <w:sz w:val="28"/>
          <w:szCs w:val="28"/>
          <w:shd w:fill="FFFFFF" w:val="clear"/>
        </w:rPr>
        <w:t>Спасский</w:t>
      </w:r>
      <w:r>
        <w:rPr>
          <w:sz w:val="28"/>
          <w:szCs w:val="28"/>
          <w:shd w:fill="FFFFFF" w:val="clear"/>
        </w:rPr>
        <w:t xml:space="preserve"> муниципальные районы</w:t>
      </w:r>
      <w:r>
        <w:rPr>
          <w:sz w:val="28"/>
          <w:szCs w:val="28"/>
          <w:shd w:fill="FFFFFF" w:val="clear"/>
        </w:rPr>
        <w:t>)</w:t>
      </w:r>
      <w:r>
        <w:rPr>
          <w:sz w:val="28"/>
          <w:szCs w:val="28"/>
        </w:rPr>
        <w:t xml:space="preserve"> согласно приложению № 2 к настоящему приказу.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приказа возложить</w:t>
      </w:r>
      <w:r>
        <w:rPr>
          <w:rFonts w:eastAsia="Times New Roman" w:cs="Times New Roman"/>
          <w:bCs/>
          <w:color w:val="auto"/>
          <w:kern w:val="0"/>
          <w:sz w:val="28"/>
          <w:szCs w:val="28"/>
          <w:lang w:val="ru-RU" w:eastAsia="ru-RU" w:bidi="ar-SA"/>
        </w:rPr>
        <w:t xml:space="preserve"> на </w:t>
      </w:r>
      <w:r>
        <w:rPr>
          <w:rFonts w:eastAsia="Calibri" w:cs="Noto Sans Devanagari"/>
          <w:bCs/>
          <w:color w:val="auto"/>
          <w:kern w:val="2"/>
          <w:sz w:val="28"/>
          <w:szCs w:val="28"/>
          <w:lang w:val="ru-RU" w:eastAsia="en-US" w:bidi="hi-IN"/>
        </w:rPr>
        <w:t>начальника отдела по контролю, надзору, лицензированию и аккредитации в сфере образования министерства образования Приморского края Кошевую Е.А</w:t>
      </w:r>
      <w:r>
        <w:rPr>
          <w:sz w:val="28"/>
          <w:szCs w:val="28"/>
        </w:rPr>
        <w:t>.</w:t>
      </w:r>
    </w:p>
    <w:p>
      <w:pPr>
        <w:pStyle w:val="Normal"/>
        <w:spacing w:lineRule="auto" w:line="240" w:before="0" w:after="0"/>
        <w:ind w:hanging="0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31"/>
        <w:gridCol w:w="4805"/>
      </w:tblGrid>
      <w:tr>
        <w:trPr/>
        <w:tc>
          <w:tcPr>
            <w:tcW w:w="483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220" w:leader="none"/>
              </w:tabs>
              <w:suppressAutoHyphens w:val="true"/>
              <w:spacing w:before="0" w:after="0"/>
              <w:contextualSpacing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министра </w:t>
            </w:r>
          </w:p>
        </w:tc>
        <w:tc>
          <w:tcPr>
            <w:tcW w:w="480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220" w:leader="none"/>
              </w:tabs>
              <w:suppressAutoHyphens w:val="true"/>
              <w:spacing w:before="0" w:after="0"/>
              <w:contextualSpacing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А.Ю. Меховская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851" w:gutter="0" w:header="1134" w:top="1559" w:footer="1134" w:bottom="15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  <mc:AlternateContent>
        <mc:Choice Requires="wps">
          <w:drawing>
            <wp:anchor behindDoc="0" distT="0" distB="635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9375" cy="173990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2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37.75pt;margin-top:0.05pt;width:6.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0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82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qFormat/>
    <w:rsid w:val="00f4182c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-">
    <w:name w:val="Hyperlink"/>
    <w:rsid w:val="00f4182c"/>
    <w:rPr>
      <w:color w:val="0000FF"/>
      <w:u w:val="single"/>
    </w:rPr>
  </w:style>
  <w:style w:type="character" w:styleId="Style15" w:customStyle="1">
    <w:name w:val="Текст выноски Знак"/>
    <w:uiPriority w:val="99"/>
    <w:semiHidden/>
    <w:qFormat/>
    <w:rsid w:val="00196c0d"/>
    <w:rPr>
      <w:rFonts w:ascii="Tahoma" w:hAnsi="Tahoma" w:eastAsia="Times New Roman" w:cs="Tahoma"/>
      <w:sz w:val="16"/>
      <w:szCs w:val="16"/>
    </w:rPr>
  </w:style>
  <w:style w:type="character" w:styleId="Strong">
    <w:name w:val="Strong"/>
    <w:qFormat/>
    <w:rsid w:val="00090240"/>
    <w:rPr>
      <w:b/>
      <w:bCs/>
    </w:rPr>
  </w:style>
  <w:style w:type="character" w:styleId="Pagenumber">
    <w:name w:val="page number"/>
    <w:basedOn w:val="DefaultParagraphFont"/>
    <w:qFormat/>
    <w:rsid w:val="00d54ff2"/>
    <w:rPr/>
  </w:style>
  <w:style w:type="character" w:styleId="1" w:customStyle="1">
    <w:name w:val="Знак Знак1"/>
    <w:qFormat/>
    <w:locked/>
    <w:rsid w:val="006d4dba"/>
    <w:rPr>
      <w:b/>
      <w:sz w:val="22"/>
      <w:lang w:val="ru-RU" w:eastAsia="ru-RU" w:bidi="ar-SA"/>
    </w:rPr>
  </w:style>
  <w:style w:type="character" w:styleId="Style16" w:customStyle="1">
    <w:name w:val="Основной текст_"/>
    <w:qFormat/>
    <w:locked/>
    <w:rsid w:val="00550f32"/>
    <w:rPr>
      <w:rFonts w:ascii="Times New Roman" w:hAnsi="Times New Roman"/>
      <w:spacing w:val="2"/>
      <w:shd w:fill="FFFFFF" w:val="clear"/>
    </w:rPr>
  </w:style>
  <w:style w:type="character" w:styleId="Style17" w:customStyle="1">
    <w:name w:val="Нижний колонтитул Знак"/>
    <w:uiPriority w:val="99"/>
    <w:qFormat/>
    <w:rsid w:val="00416b28"/>
    <w:rPr>
      <w:rFonts w:ascii="Times New Roman" w:hAnsi="Times New Roman" w:eastAsia="Times New Roman"/>
      <w:sz w:val="24"/>
      <w:szCs w:val="24"/>
    </w:rPr>
  </w:style>
  <w:style w:type="character" w:styleId="Style18" w:customStyle="1">
    <w:name w:val="Верхний колонтитул Знак"/>
    <w:uiPriority w:val="99"/>
    <w:qFormat/>
    <w:rsid w:val="00416b28"/>
    <w:rPr>
      <w:rFonts w:ascii="Times New Roman" w:hAnsi="Times New Roman" w:eastAsia="Times New Roman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rsid w:val="00f4182c"/>
    <w:pPr>
      <w:spacing w:lineRule="exact" w:line="280"/>
      <w:jc w:val="center"/>
    </w:pPr>
    <w:rPr>
      <w:b/>
      <w:sz w:val="20"/>
      <w:szCs w:val="20"/>
      <w:lang w:val="x-none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uiPriority w:val="99"/>
    <w:semiHidden/>
    <w:unhideWhenUsed/>
    <w:qFormat/>
    <w:rsid w:val="00196c0d"/>
    <w:pPr/>
    <w:rPr>
      <w:rFonts w:ascii="Tahoma" w:hAnsi="Tahoma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b93993"/>
    <w:pPr>
      <w:spacing w:before="0" w:after="0"/>
      <w:ind w:left="720" w:hanging="0"/>
      <w:contextualSpacing/>
    </w:pPr>
    <w:rPr/>
  </w:style>
  <w:style w:type="paragraph" w:styleId="2">
    <w:name w:val="TOC 2"/>
    <w:basedOn w:val="Normal"/>
    <w:next w:val="Normal"/>
    <w:autoRedefine/>
    <w:semiHidden/>
    <w:rsid w:val="00e55a55"/>
    <w:pPr>
      <w:tabs>
        <w:tab w:val="clear" w:pos="708"/>
        <w:tab w:val="right" w:pos="9403" w:leader="dot"/>
      </w:tabs>
      <w:ind w:left="720" w:hanging="0"/>
    </w:pPr>
    <w:rPr>
      <w:b/>
      <w:szCs w:val="20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rsid w:val="00d54ff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сновной текст1"/>
    <w:basedOn w:val="Normal"/>
    <w:qFormat/>
    <w:rsid w:val="00550f32"/>
    <w:pPr>
      <w:widowControl w:val="false"/>
      <w:shd w:val="clear" w:color="auto" w:fill="FFFFFF"/>
      <w:spacing w:lineRule="exact" w:line="281"/>
      <w:jc w:val="both"/>
    </w:pPr>
    <w:rPr>
      <w:rFonts w:eastAsia="Calibri"/>
      <w:spacing w:val="2"/>
      <w:sz w:val="20"/>
      <w:szCs w:val="20"/>
      <w:lang w:val="x-none" w:eastAsia="x-none"/>
    </w:rPr>
  </w:style>
  <w:style w:type="paragraph" w:styleId="21" w:customStyle="1">
    <w:name w:val="Основной текст2"/>
    <w:basedOn w:val="Normal"/>
    <w:qFormat/>
    <w:rsid w:val="00550f32"/>
    <w:pPr>
      <w:widowControl w:val="false"/>
      <w:shd w:val="clear" w:color="auto" w:fill="FFFFFF"/>
      <w:spacing w:lineRule="atLeast" w:line="0" w:before="360" w:after="120"/>
    </w:pPr>
    <w:rPr>
      <w:spacing w:val="-3"/>
      <w:sz w:val="26"/>
      <w:szCs w:val="26"/>
    </w:rPr>
  </w:style>
  <w:style w:type="paragraph" w:styleId="ConsPlusNormal" w:customStyle="1">
    <w:name w:val="ConsPlusNormal"/>
    <w:qFormat/>
    <w:rsid w:val="00550f32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550f32"/>
    <w:pPr>
      <w:spacing w:beforeAutospacing="1" w:afterAutospacing="1"/>
    </w:pPr>
    <w:rPr/>
  </w:style>
  <w:style w:type="paragraph" w:styleId="ConsPlusTitle" w:customStyle="1">
    <w:name w:val="ConsPlusTitle"/>
    <w:qFormat/>
    <w:rsid w:val="00956ec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>
    <w:name w:val="Footer"/>
    <w:basedOn w:val="Normal"/>
    <w:uiPriority w:val="99"/>
    <w:unhideWhenUsed/>
    <w:rsid w:val="00416b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e55a55"/>
    <w:pPr>
      <w:jc w:val="center"/>
    </w:pPr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0769-59BA-4909-A07D-F4C41C46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LibreOffice/7.5.6.2$Linux_X86_64 LibreOffice_project/50$Build-2</Application>
  <AppVersion>15.0000</AppVersion>
  <Pages>3</Pages>
  <Words>381</Words>
  <Characters>2987</Characters>
  <CharactersWithSpaces>3364</CharactersWithSpaces>
  <Paragraphs>15</Paragraphs>
  <Company>АПК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2021-02-07T23:21:00Z</dcterms:created>
  <dc:creator>Nekrasova_TE</dc:creator>
  <dc:description/>
  <dc:language>ru-RU</dc:language>
  <cp:lastModifiedBy/>
  <cp:lastPrinted>2025-03-06T17:02:08Z</cp:lastPrinted>
  <dcterms:modified xsi:type="dcterms:W3CDTF">2025-03-06T17:05:19Z</dcterms:modified>
  <cp:revision>51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